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905B46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433317" w:rsidRPr="00433317">
        <w:rPr>
          <w:rFonts w:eastAsia="Arial Unicode MS"/>
          <w:b w:val="0"/>
          <w:i w:val="0"/>
          <w:sz w:val="24"/>
          <w:szCs w:val="24"/>
        </w:rPr>
        <w:t>Công ty CP Dịch vụ Đô Thị Đà Lạt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433317" w:rsidRPr="00433317">
        <w:rPr>
          <w:rFonts w:eastAsia="Arial Unicode MS"/>
          <w:bCs/>
          <w:iCs/>
        </w:rPr>
        <w:t>DaLat Urban Service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33317" w:rsidRPr="00433317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1.279.300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</w:t>
            </w:r>
            <w:proofErr w:type="gram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 )</w:t>
            </w:r>
            <w:proofErr w:type="gram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:rsidR="00E667BD" w:rsidRPr="00ED5B37" w:rsidRDefault="00E667BD" w:rsidP="00FA06C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FA06C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921A80" w:rsidRPr="00921A80">
        <w:rPr>
          <w:rFonts w:eastAsia="Arial Unicode MS"/>
        </w:rPr>
        <w:t>Công ty Cổ phần Dịch vụ Đô Thị Đà Lạt do Ủy ban Nhân dân Tỉnh Lâm Đồng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05B4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905B4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905B46">
        <w:rPr>
          <w:rFonts w:ascii="Arial" w:eastAsia="Arial Unicode MS" w:hAnsi="Arial"/>
          <w:sz w:val="18"/>
        </w:rPr>
        <w:t>36.800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1C4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33317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76966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05B46"/>
    <w:rsid w:val="00921A80"/>
    <w:rsid w:val="00935AC5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6319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A06C0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59DA9F64"/>
  <w15:docId w15:val="{C4A25F53-E5A0-4A54-9051-2295AD4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Van Tai</cp:lastModifiedBy>
  <cp:revision>79</cp:revision>
  <dcterms:created xsi:type="dcterms:W3CDTF">2015-03-11T07:47:00Z</dcterms:created>
  <dcterms:modified xsi:type="dcterms:W3CDTF">2019-02-22T03:29:00Z</dcterms:modified>
</cp:coreProperties>
</file>